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3980" w14:textId="77777777" w:rsidR="00253D78" w:rsidRDefault="003628FB">
      <w:pPr>
        <w:pBdr>
          <w:top w:val="single" w:sz="4" w:space="0" w:color="00000A"/>
          <w:left w:val="single" w:sz="4" w:space="0" w:color="00000A"/>
          <w:bottom w:val="single" w:sz="4" w:space="0" w:color="00000A"/>
          <w:right w:val="single" w:sz="4" w:space="0" w:color="00000A"/>
        </w:pBdr>
        <w:spacing w:after="196" w:line="259" w:lineRule="auto"/>
        <w:ind w:left="94" w:firstLine="0"/>
      </w:pPr>
      <w:r>
        <w:rPr>
          <w:b/>
        </w:rPr>
        <w:t>Absender:</w:t>
      </w:r>
    </w:p>
    <w:p w14:paraId="5C2BD025"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r>
        <w:t xml:space="preserve">Vorname </w:t>
      </w:r>
      <w:proofErr w:type="gramStart"/>
      <w:r>
        <w:t>Nachname  …</w:t>
      </w:r>
      <w:proofErr w:type="gramEnd"/>
      <w:r>
        <w:t>……………………………</w:t>
      </w:r>
      <w:proofErr w:type="gramStart"/>
      <w:r>
        <w:t>……..….</w:t>
      </w:r>
      <w:proofErr w:type="gramEnd"/>
      <w:r>
        <w:t>.………………………………………………</w:t>
      </w:r>
    </w:p>
    <w:p w14:paraId="17DD03F8"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proofErr w:type="gramStart"/>
      <w:r>
        <w:t>Straße  …</w:t>
      </w:r>
      <w:proofErr w:type="gramEnd"/>
      <w:r>
        <w:t>………………………………………</w:t>
      </w:r>
      <w:proofErr w:type="gramStart"/>
      <w:r>
        <w:t>……..….….…</w:t>
      </w:r>
      <w:proofErr w:type="gramEnd"/>
      <w:r>
        <w:t>………………………………………………</w:t>
      </w:r>
    </w:p>
    <w:p w14:paraId="14EE037C" w14:textId="77777777" w:rsidR="00253D78" w:rsidRDefault="003628FB">
      <w:pPr>
        <w:pBdr>
          <w:top w:val="single" w:sz="4" w:space="0" w:color="00000A"/>
          <w:left w:val="single" w:sz="4" w:space="0" w:color="00000A"/>
          <w:bottom w:val="single" w:sz="4" w:space="0" w:color="00000A"/>
          <w:right w:val="single" w:sz="4" w:space="0" w:color="00000A"/>
        </w:pBdr>
        <w:spacing w:after="801" w:line="265" w:lineRule="auto"/>
        <w:ind w:left="104"/>
      </w:pPr>
      <w:r>
        <w:t xml:space="preserve">PLZ, </w:t>
      </w:r>
      <w:proofErr w:type="gramStart"/>
      <w:r>
        <w:t>Ort  …</w:t>
      </w:r>
      <w:proofErr w:type="gramEnd"/>
      <w:r>
        <w:t>…………………………………………………</w:t>
      </w:r>
      <w:proofErr w:type="gramStart"/>
      <w:r>
        <w:t>…….</w:t>
      </w:r>
      <w:proofErr w:type="gramEnd"/>
      <w:r>
        <w:t>……………………………………………</w:t>
      </w:r>
    </w:p>
    <w:p w14:paraId="0A085CFB" w14:textId="77777777" w:rsidR="00253D78" w:rsidRDefault="003628FB">
      <w:pPr>
        <w:spacing w:after="194" w:line="265" w:lineRule="auto"/>
        <w:ind w:left="-5" w:right="429"/>
      </w:pPr>
      <w:r>
        <w:rPr>
          <w:b/>
        </w:rPr>
        <w:t>Einwurf-Einschreiben</w:t>
      </w:r>
    </w:p>
    <w:p w14:paraId="7DE3ADBF" w14:textId="77777777" w:rsidR="00253D78" w:rsidRDefault="003628FB">
      <w:pPr>
        <w:spacing w:after="28"/>
        <w:ind w:left="-5"/>
      </w:pPr>
      <w:r>
        <w:t>Regionalverban</w:t>
      </w:r>
      <w:r w:rsidR="00570420">
        <w:t>d Nürnberg</w:t>
      </w:r>
    </w:p>
    <w:p w14:paraId="228D6ACE" w14:textId="77777777" w:rsidR="00253D78" w:rsidRDefault="00570420">
      <w:pPr>
        <w:spacing w:after="28"/>
        <w:ind w:left="-5"/>
      </w:pPr>
      <w:r>
        <w:t>Hauptmarkt 16</w:t>
      </w:r>
    </w:p>
    <w:p w14:paraId="26472266" w14:textId="77777777" w:rsidR="00253D78" w:rsidRDefault="00570420">
      <w:pPr>
        <w:spacing w:after="594"/>
        <w:ind w:left="-5"/>
      </w:pPr>
      <w:r>
        <w:t>90403 Nürnberg</w:t>
      </w:r>
    </w:p>
    <w:p w14:paraId="320ADFAA" w14:textId="77777777" w:rsidR="00802A32" w:rsidRDefault="00802A32">
      <w:pPr>
        <w:spacing w:after="594"/>
        <w:ind w:left="-5"/>
      </w:pPr>
    </w:p>
    <w:p w14:paraId="11FF7A6D" w14:textId="77777777" w:rsidR="00253D78" w:rsidRPr="00570420" w:rsidRDefault="00570420">
      <w:pPr>
        <w:spacing w:after="194" w:line="265" w:lineRule="auto"/>
        <w:ind w:left="-5" w:right="429"/>
        <w:rPr>
          <w:bCs/>
        </w:rPr>
      </w:pPr>
      <w:r w:rsidRPr="00570420">
        <w:rPr>
          <w:bCs/>
        </w:rPr>
        <w:t>Einwendung zur Fortschreibung des Regionalplan Nürnberg (7) WK402</w:t>
      </w:r>
    </w:p>
    <w:p w14:paraId="11085322" w14:textId="77777777" w:rsidR="00253D78" w:rsidRDefault="003628FB">
      <w:pPr>
        <w:spacing w:after="421" w:line="265" w:lineRule="auto"/>
        <w:ind w:left="-5" w:right="429"/>
      </w:pPr>
      <w:r>
        <w:rPr>
          <w:b/>
        </w:rPr>
        <w:t>Begründung: Schallschutz</w:t>
      </w:r>
    </w:p>
    <w:p w14:paraId="3D03B39D" w14:textId="77777777" w:rsidR="00802A32" w:rsidRDefault="003628FB">
      <w:pPr>
        <w:spacing w:after="34" w:line="478" w:lineRule="auto"/>
        <w:ind w:left="0" w:right="2119" w:firstLine="0"/>
      </w:pPr>
      <w:r>
        <w:t xml:space="preserve">Sehr geehrte Damen und Herren, </w:t>
      </w:r>
    </w:p>
    <w:p w14:paraId="076A0749" w14:textId="3CAC674C" w:rsidR="00253D78" w:rsidRDefault="003628FB">
      <w:pPr>
        <w:spacing w:after="34" w:line="478" w:lineRule="auto"/>
        <w:ind w:left="0" w:right="2119" w:firstLine="0"/>
      </w:pPr>
      <w:r>
        <w:t>im Rahmen des öffentlichen Beteiligungsverfahrens erhebe ich Einwände:</w:t>
      </w:r>
    </w:p>
    <w:p w14:paraId="09A63D63" w14:textId="7D0BC907" w:rsidR="00253D78" w:rsidRDefault="003628FB">
      <w:pPr>
        <w:ind w:left="-5"/>
      </w:pPr>
      <w:r>
        <w:t xml:space="preserve">Erfahrungsgemäß kann bei den Abständen von 600 m bis 1.000 m keinesfalls der Nachtimmissionsrichtwert eingehalten werden.  Auch ist mit Belästigungen und Beeinträchtigungen durch die bedrängende Wirkung der Anlagen, durch den Schattenwurf und Geräuschentwicklung zu erwarten. Insbesondere in den exponierten </w:t>
      </w:r>
      <w:r w:rsidR="00570420">
        <w:t xml:space="preserve">Wohngebieten vor allem im Süden von Wendelstein und </w:t>
      </w:r>
      <w:proofErr w:type="spellStart"/>
      <w:r w:rsidR="00570420">
        <w:t>Großschwarzenlohe</w:t>
      </w:r>
      <w:proofErr w:type="spellEnd"/>
      <w:r w:rsidR="00570420">
        <w:t xml:space="preserve"> und im Norden von Leerstetten. </w:t>
      </w:r>
      <w:r>
        <w:t xml:space="preserve">  Durch die kumulative Wirkung der Einzelanlagen und ihrer gigantischen Größe ist ein vermehrter Schalleintrag mit gesundheitsschädlichen Auswirkungen auf die angrenzende Bevölkerung nicht ausgeschlossen. Die offene </w:t>
      </w:r>
      <w:r w:rsidR="00570420">
        <w:t>Fl</w:t>
      </w:r>
      <w:r>
        <w:t xml:space="preserve">äche bietet keinerlei Schallschutz oder Dämpfungswirkung gegen Schallemissionen der bis zu </w:t>
      </w:r>
      <w:r w:rsidR="00570420">
        <w:t>260</w:t>
      </w:r>
      <w:r>
        <w:t xml:space="preserve"> Meter hohen Industriemaschinen für die dort lebenden Menschen</w:t>
      </w:r>
      <w:r w:rsidR="00606E34">
        <w:t xml:space="preserve"> in den Wohnbaugebieten und an der Ortsgrenze liegenden Kindergärten und Schulen.</w:t>
      </w:r>
    </w:p>
    <w:p w14:paraId="5A122118" w14:textId="5E224C87" w:rsidR="00253D78" w:rsidRDefault="003628FB" w:rsidP="00802A32">
      <w:pPr>
        <w:ind w:left="-15" w:firstLine="0"/>
      </w:pPr>
      <w:r>
        <w:t>Über die Schallleistungspegel bei WKA schweigen sich die Hersteller bei den neueren, größeren Anlagen zumindest für die normalen Recherchen im Netz aus. Bei der Enercon E-82 nennt Wikipedia einen max. Schallleistungspegel von 103,5 dB(A) bis 106 dB(A)3.</w:t>
      </w:r>
      <w:r w:rsidR="00570420">
        <w:t xml:space="preserve"> Zum Vergleich, eine Motorsäge</w:t>
      </w:r>
      <w:r w:rsidR="0028558D">
        <w:t xml:space="preserve"> oder ein Winkelschleifer</w:t>
      </w:r>
      <w:r w:rsidR="00570420">
        <w:t xml:space="preserve"> </w:t>
      </w:r>
      <w:r w:rsidR="0028558D">
        <w:t xml:space="preserve">erreicht bis 100 dB (A). Oder auch vorbeifahrende Lkws erreichen bis zu 100 dB (A). Bei 110 dB (A) ist die Schmerzgrenze erreicht. In diesem Bereich liegen z.B. der Presslufthammer oder </w:t>
      </w:r>
      <w:proofErr w:type="spellStart"/>
      <w:r w:rsidR="0028558D">
        <w:t>Diskothenlärm</w:t>
      </w:r>
      <w:proofErr w:type="spellEnd"/>
      <w:r w:rsidR="0028558D">
        <w:t>.</w:t>
      </w:r>
      <w:r>
        <w:t xml:space="preserve"> Siehe auch Abbildung 3 für die Enercon E-141 EP4. Die Schallleistungspegel werden zudem überlagert durch konstruktive Gegebenheiten, die durchaus in einzelnen Frequenzbereichen zu einer Verstärkung durch Resonanz führen können. Dabei kommt es zu einer erhöhten </w:t>
      </w:r>
      <w:proofErr w:type="spellStart"/>
      <w:r>
        <w:t>Tonhaltigkeit</w:t>
      </w:r>
      <w:proofErr w:type="spellEnd"/>
      <w:r>
        <w:t xml:space="preserve"> des Schalls. Dies </w:t>
      </w:r>
      <w:proofErr w:type="gramStart"/>
      <w:r>
        <w:t>führt letztendlich</w:t>
      </w:r>
      <w:proofErr w:type="gramEnd"/>
      <w:r>
        <w:t xml:space="preserve"> auch zu Interferenzerscheinungen, die im Schalldruck und im örtlichen Auftreten nicht mehr vorhersehbar sind (siehe Abbildung).</w:t>
      </w:r>
    </w:p>
    <w:p w14:paraId="048C8584" w14:textId="77777777" w:rsidR="00253D78" w:rsidRDefault="00253D78">
      <w:pPr>
        <w:spacing w:after="119" w:line="259" w:lineRule="auto"/>
        <w:ind w:left="25"/>
        <w:jc w:val="center"/>
      </w:pPr>
    </w:p>
    <w:p w14:paraId="1DEACCBB" w14:textId="77777777" w:rsidR="00253D78" w:rsidRDefault="003628FB">
      <w:pPr>
        <w:spacing w:after="238" w:line="259" w:lineRule="auto"/>
        <w:ind w:left="-2" w:right="-12" w:firstLine="0"/>
      </w:pPr>
      <w:r>
        <w:rPr>
          <w:noProof/>
        </w:rPr>
        <w:lastRenderedPageBreak/>
        <w:drawing>
          <wp:inline distT="0" distB="0" distL="0" distR="0" wp14:anchorId="7A85039D" wp14:editId="5BE88D9A">
            <wp:extent cx="5763768" cy="3502152"/>
            <wp:effectExtent l="0" t="0" r="0" b="0"/>
            <wp:docPr id="1604" name="Picture 1604"/>
            <wp:cNvGraphicFramePr/>
            <a:graphic xmlns:a="http://schemas.openxmlformats.org/drawingml/2006/main">
              <a:graphicData uri="http://schemas.openxmlformats.org/drawingml/2006/picture">
                <pic:pic xmlns:pic="http://schemas.openxmlformats.org/drawingml/2006/picture">
                  <pic:nvPicPr>
                    <pic:cNvPr id="1604" name="Picture 1604"/>
                    <pic:cNvPicPr/>
                  </pic:nvPicPr>
                  <pic:blipFill>
                    <a:blip r:embed="rId5"/>
                    <a:stretch>
                      <a:fillRect/>
                    </a:stretch>
                  </pic:blipFill>
                  <pic:spPr>
                    <a:xfrm>
                      <a:off x="0" y="0"/>
                      <a:ext cx="5763768" cy="3502152"/>
                    </a:xfrm>
                    <a:prstGeom prst="rect">
                      <a:avLst/>
                    </a:prstGeom>
                  </pic:spPr>
                </pic:pic>
              </a:graphicData>
            </a:graphic>
          </wp:inline>
        </w:drawing>
      </w:r>
    </w:p>
    <w:p w14:paraId="53BCE91D" w14:textId="67B7355D" w:rsidR="00253D78" w:rsidRDefault="003628FB">
      <w:pPr>
        <w:spacing w:after="1"/>
        <w:ind w:left="-5"/>
      </w:pPr>
      <w:r>
        <w:t xml:space="preserve">Die Raumwirkung und den von den Anlagen ausgehenden Immissionen können die Gesundheit von Menschen und Tieren beeinträchtigen und wirken sich </w:t>
      </w:r>
      <w:proofErr w:type="gramStart"/>
      <w:r>
        <w:t>extrem negativ</w:t>
      </w:r>
      <w:proofErr w:type="gramEnd"/>
      <w:r>
        <w:t xml:space="preserve"> aus. </w:t>
      </w:r>
    </w:p>
    <w:p w14:paraId="1147ECCF" w14:textId="77777777" w:rsidR="00253D78" w:rsidRDefault="003628FB">
      <w:pPr>
        <w:spacing w:after="237" w:line="259" w:lineRule="auto"/>
        <w:ind w:left="-2" w:firstLine="0"/>
      </w:pPr>
      <w:r>
        <w:rPr>
          <w:noProof/>
        </w:rPr>
        <w:drawing>
          <wp:inline distT="0" distB="0" distL="0" distR="0" wp14:anchorId="038D389F" wp14:editId="5BC1DFE9">
            <wp:extent cx="3233928" cy="2526792"/>
            <wp:effectExtent l="0" t="0" r="0" b="0"/>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6"/>
                    <a:stretch>
                      <a:fillRect/>
                    </a:stretch>
                  </pic:blipFill>
                  <pic:spPr>
                    <a:xfrm>
                      <a:off x="0" y="0"/>
                      <a:ext cx="3233928" cy="2526792"/>
                    </a:xfrm>
                    <a:prstGeom prst="rect">
                      <a:avLst/>
                    </a:prstGeom>
                  </pic:spPr>
                </pic:pic>
              </a:graphicData>
            </a:graphic>
          </wp:inline>
        </w:drawing>
      </w:r>
    </w:p>
    <w:p w14:paraId="27535F9B" w14:textId="090D0C10" w:rsidR="00253D78" w:rsidRDefault="00606E34" w:rsidP="00802A32">
      <w:pPr>
        <w:spacing w:after="237" w:line="259" w:lineRule="auto"/>
        <w:ind w:left="-2" w:firstLine="0"/>
      </w:pPr>
      <w:r>
        <w:t>Auch ist ein wirtschaftlicher Schaden durch den Verlust von Immobilien- und Grundstückswerten zu erwarten. Somit ist vorrangig ein berechtigtes öffentliches Interesse zum Schutze der Natur, der Landschaft und der Menschen gegeben, das den Bauvorhaben zur Errichtung von Windkraftanlagen in unserem Gebiet entgegensteht.</w:t>
      </w:r>
    </w:p>
    <w:p w14:paraId="44879820" w14:textId="77777777" w:rsidR="00253D78" w:rsidRDefault="003628FB">
      <w:pPr>
        <w:ind w:left="-5"/>
      </w:pPr>
      <w:r>
        <w:t xml:space="preserve">Dies bedeutet im Klartext, dass auch schon im Regionalplanverfahren entgegenstehende öffentliche Belange zu berücksichtigen sind, wenn entsprechende Hinweise vorhanden sind oder vorgetragen werden. </w:t>
      </w:r>
    </w:p>
    <w:p w14:paraId="20E3CB2F" w14:textId="6A495F31" w:rsidR="00253D78" w:rsidRDefault="00606E34">
      <w:pPr>
        <w:ind w:left="-5"/>
      </w:pPr>
      <w:r w:rsidRPr="00606E34">
        <w:t xml:space="preserve">Die Änderungen in § 6 </w:t>
      </w:r>
      <w:proofErr w:type="spellStart"/>
      <w:r w:rsidRPr="00606E34">
        <w:t>WindBG</w:t>
      </w:r>
      <w:proofErr w:type="spellEnd"/>
      <w:r w:rsidRPr="00606E34">
        <w:t xml:space="preserve"> und § 49 UVPG verstoßen gegen europäisches Recht</w:t>
      </w:r>
      <w:r>
        <w:t xml:space="preserve"> </w:t>
      </w:r>
      <w:r w:rsidR="003628FB">
        <w:t xml:space="preserve">und gegen den Green Deal der Europäischen Union. Zu diesem Ergebnis kommt ein rechtswissenschaftliches Gutachten der Kanzlei </w:t>
      </w:r>
      <w:proofErr w:type="spellStart"/>
      <w:r w:rsidR="003628FB">
        <w:rPr>
          <w:i/>
        </w:rPr>
        <w:t>Caemmerer</w:t>
      </w:r>
      <w:proofErr w:type="spellEnd"/>
      <w:r w:rsidR="003628FB">
        <w:rPr>
          <w:i/>
        </w:rPr>
        <w:t xml:space="preserve"> - Lenz </w:t>
      </w:r>
      <w:r w:rsidR="003628FB">
        <w:t xml:space="preserve">aus Karlsruhe im Auftrag der Naturschutzinitiative e.V. (NI). </w:t>
      </w:r>
    </w:p>
    <w:p w14:paraId="5DF68F75" w14:textId="0B6273FF" w:rsidR="00253D78" w:rsidRDefault="003628FB">
      <w:pPr>
        <w:ind w:left="-5"/>
      </w:pPr>
      <w:r>
        <w:t xml:space="preserve">Der auf deutsches und europäisches Umweltrecht spezialisierte Fachanwalt für Verwaltungsrecht, Dr. Rico Faller, hat zentrale Regelungen im Koalitionsvertrag untersucht, bei denen es insbesondere um den Ausbau der Windenergie in Deutschland geht: Windkraft </w:t>
      </w:r>
      <w:proofErr w:type="gramStart"/>
      <w:r>
        <w:t>im Dienste</w:t>
      </w:r>
      <w:proofErr w:type="gramEnd"/>
      <w:r>
        <w:t xml:space="preserve"> der „öffentlichen Sicherheit“, Abkehr vom Individualschutz und Ausrichtung auf Populationsschutz </w:t>
      </w:r>
      <w:r w:rsidR="00606E34">
        <w:t xml:space="preserve">für bedrohte Vogelarten </w:t>
      </w:r>
      <w:r>
        <w:t>und ein gesetzlicher Vorrang für erneuerbare Energien sind allesamt mit EU-Recht nicht vereinbar.</w:t>
      </w:r>
    </w:p>
    <w:p w14:paraId="56EA5CFC" w14:textId="1A2498ED" w:rsidR="00253D78" w:rsidRDefault="003628FB" w:rsidP="0028558D">
      <w:pPr>
        <w:spacing w:after="28"/>
        <w:ind w:left="-5"/>
      </w:pPr>
      <w:r>
        <w:lastRenderedPageBreak/>
        <w:t>Ic</w:t>
      </w:r>
      <w:r w:rsidR="0028558D">
        <w:t>h fordere Sie diesbezüglich auf, meine Einw</w:t>
      </w:r>
      <w:r w:rsidR="00AE7982">
        <w:t>ä</w:t>
      </w:r>
      <w:r w:rsidR="0028558D">
        <w:t xml:space="preserve">nde vollständig, sachbezogen und gesetzeskonform zu prüfen und mir eine schriftliche Stellungnahme unter </w:t>
      </w:r>
      <w:r w:rsidR="00AE7982">
        <w:t>Angabe eines</w:t>
      </w:r>
      <w:r w:rsidR="0028558D">
        <w:t xml:space="preserve"> Aktenzeichen</w:t>
      </w:r>
      <w:r w:rsidR="00AE7982">
        <w:t>s</w:t>
      </w:r>
      <w:r w:rsidR="0028558D">
        <w:t xml:space="preserve"> zuzusenden. </w:t>
      </w:r>
    </w:p>
    <w:p w14:paraId="17C120B2" w14:textId="77777777" w:rsidR="00AE7982" w:rsidRDefault="00AE7982" w:rsidP="0028558D">
      <w:pPr>
        <w:spacing w:after="28"/>
        <w:ind w:left="-5"/>
      </w:pPr>
    </w:p>
    <w:p w14:paraId="77FE1572" w14:textId="77777777" w:rsidR="0028558D" w:rsidRDefault="0028558D" w:rsidP="0028558D">
      <w:pPr>
        <w:spacing w:after="28"/>
        <w:ind w:left="-5"/>
      </w:pPr>
      <w:r>
        <w:t xml:space="preserve">Zusätzlich fordere ich die Aussetzung des bislang geplanten Verfahrens, bis eine einvernehmliche Klärung vorliegt. </w:t>
      </w:r>
    </w:p>
    <w:p w14:paraId="6EF5D350" w14:textId="77777777" w:rsidR="00AE7982" w:rsidRDefault="00AE7982" w:rsidP="0028558D">
      <w:pPr>
        <w:spacing w:after="28"/>
        <w:ind w:left="-5"/>
      </w:pPr>
    </w:p>
    <w:p w14:paraId="6989B7D0" w14:textId="77777777" w:rsidR="0028558D" w:rsidRDefault="0028558D" w:rsidP="0028558D">
      <w:pPr>
        <w:spacing w:after="28"/>
        <w:ind w:left="-5"/>
      </w:pPr>
      <w:r>
        <w:t>Gleichnamiges Schreiben geht ebenfalls an die Gemeinde Schwanstetten und an die Gemeinde Wendelstein.</w:t>
      </w:r>
    </w:p>
    <w:p w14:paraId="635D9B13" w14:textId="77777777" w:rsidR="0028558D" w:rsidRDefault="0028558D" w:rsidP="0028558D">
      <w:pPr>
        <w:spacing w:after="28"/>
        <w:ind w:left="-5"/>
      </w:pPr>
    </w:p>
    <w:p w14:paraId="1913130D" w14:textId="77777777" w:rsidR="005C29DD" w:rsidRDefault="005C29DD" w:rsidP="0028558D">
      <w:pPr>
        <w:spacing w:after="28"/>
        <w:ind w:left="-5"/>
      </w:pPr>
    </w:p>
    <w:p w14:paraId="0BCEA9D3" w14:textId="77777777" w:rsidR="005C29DD" w:rsidRDefault="005C29DD" w:rsidP="0028558D">
      <w:pPr>
        <w:spacing w:after="28"/>
        <w:ind w:left="-5"/>
      </w:pPr>
    </w:p>
    <w:p w14:paraId="1255BDCD" w14:textId="77777777" w:rsidR="00253D78" w:rsidRDefault="003628FB" w:rsidP="0028558D">
      <w:pPr>
        <w:ind w:left="0" w:right="2924" w:firstLine="0"/>
      </w:pPr>
      <w:r>
        <w:t>Mit freundlichen Grüßen</w:t>
      </w:r>
    </w:p>
    <w:p w14:paraId="6F8DB738" w14:textId="77777777" w:rsidR="005C29DD" w:rsidRDefault="005C29DD" w:rsidP="0028558D">
      <w:pPr>
        <w:ind w:left="0" w:right="2924" w:firstLine="0"/>
      </w:pPr>
    </w:p>
    <w:p w14:paraId="2ABAD103" w14:textId="77777777" w:rsidR="005C29DD" w:rsidRDefault="005C29DD" w:rsidP="0028558D">
      <w:pPr>
        <w:ind w:left="0" w:right="2924" w:firstLine="0"/>
      </w:pPr>
    </w:p>
    <w:tbl>
      <w:tblPr>
        <w:tblStyle w:val="TableGrid"/>
        <w:tblW w:w="7250" w:type="dxa"/>
        <w:tblInd w:w="0" w:type="dxa"/>
        <w:tblLook w:val="04A0" w:firstRow="1" w:lastRow="0" w:firstColumn="1" w:lastColumn="0" w:noHBand="0" w:noVBand="1"/>
      </w:tblPr>
      <w:tblGrid>
        <w:gridCol w:w="4248"/>
        <w:gridCol w:w="3002"/>
      </w:tblGrid>
      <w:tr w:rsidR="00253D78" w14:paraId="694E9BE3" w14:textId="77777777">
        <w:trPr>
          <w:trHeight w:val="227"/>
        </w:trPr>
        <w:tc>
          <w:tcPr>
            <w:tcW w:w="4248" w:type="dxa"/>
            <w:tcBorders>
              <w:top w:val="nil"/>
              <w:left w:val="nil"/>
              <w:bottom w:val="nil"/>
              <w:right w:val="nil"/>
            </w:tcBorders>
          </w:tcPr>
          <w:p w14:paraId="5BF128B2" w14:textId="77777777" w:rsidR="00253D78" w:rsidRDefault="003628FB">
            <w:pPr>
              <w:spacing w:after="0" w:line="259" w:lineRule="auto"/>
              <w:ind w:left="0" w:firstLine="0"/>
            </w:pPr>
            <w:r>
              <w:t>_____________________</w:t>
            </w:r>
          </w:p>
        </w:tc>
        <w:tc>
          <w:tcPr>
            <w:tcW w:w="3002" w:type="dxa"/>
            <w:tcBorders>
              <w:top w:val="nil"/>
              <w:left w:val="nil"/>
              <w:bottom w:val="nil"/>
              <w:right w:val="nil"/>
            </w:tcBorders>
          </w:tcPr>
          <w:p w14:paraId="4DB30EE1" w14:textId="77777777" w:rsidR="00253D78" w:rsidRDefault="003628FB">
            <w:pPr>
              <w:spacing w:after="0" w:line="259" w:lineRule="auto"/>
              <w:ind w:left="0" w:firstLine="0"/>
              <w:jc w:val="both"/>
            </w:pPr>
            <w:r>
              <w:t>___________________________</w:t>
            </w:r>
          </w:p>
        </w:tc>
      </w:tr>
      <w:tr w:rsidR="00253D78" w14:paraId="641D41DB" w14:textId="77777777">
        <w:trPr>
          <w:trHeight w:val="227"/>
        </w:trPr>
        <w:tc>
          <w:tcPr>
            <w:tcW w:w="4248" w:type="dxa"/>
            <w:tcBorders>
              <w:top w:val="nil"/>
              <w:left w:val="nil"/>
              <w:bottom w:val="nil"/>
              <w:right w:val="nil"/>
            </w:tcBorders>
          </w:tcPr>
          <w:p w14:paraId="07BF3E9E" w14:textId="77777777" w:rsidR="00253D78" w:rsidRDefault="003628FB">
            <w:pPr>
              <w:spacing w:after="0" w:line="259" w:lineRule="auto"/>
              <w:ind w:left="0" w:firstLine="0"/>
            </w:pPr>
            <w:r>
              <w:t>Ort, Datum</w:t>
            </w:r>
          </w:p>
        </w:tc>
        <w:tc>
          <w:tcPr>
            <w:tcW w:w="3002" w:type="dxa"/>
            <w:tcBorders>
              <w:top w:val="nil"/>
              <w:left w:val="nil"/>
              <w:bottom w:val="nil"/>
              <w:right w:val="nil"/>
            </w:tcBorders>
          </w:tcPr>
          <w:p w14:paraId="4ED1DD22" w14:textId="77777777" w:rsidR="00253D78" w:rsidRDefault="003628FB">
            <w:pPr>
              <w:spacing w:after="0" w:line="259" w:lineRule="auto"/>
              <w:ind w:left="0" w:firstLine="0"/>
            </w:pPr>
            <w:r>
              <w:t>Unterschrift</w:t>
            </w:r>
          </w:p>
        </w:tc>
      </w:tr>
    </w:tbl>
    <w:p w14:paraId="51746CF6" w14:textId="77777777" w:rsidR="00253D78" w:rsidRDefault="003628FB">
      <w:pPr>
        <w:spacing w:after="0" w:line="259" w:lineRule="auto"/>
        <w:ind w:left="3776" w:firstLine="0"/>
        <w:jc w:val="center"/>
      </w:pPr>
      <w:r>
        <w:rPr>
          <w:sz w:val="16"/>
        </w:rPr>
        <w:t xml:space="preserve">  </w:t>
      </w:r>
    </w:p>
    <w:sectPr w:rsidR="00253D78">
      <w:pgSz w:w="11906" w:h="16838"/>
      <w:pgMar w:top="850" w:right="1430" w:bottom="1441"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4162D2-F092-438D-8A1F-6B6042EA4AF7}"/>
    <w:docVar w:name="dgnword-eventsink" w:val="2417392770528"/>
  </w:docVars>
  <w:rsids>
    <w:rsidRoot w:val="00253D78"/>
    <w:rsid w:val="00253D78"/>
    <w:rsid w:val="0028558D"/>
    <w:rsid w:val="003628FB"/>
    <w:rsid w:val="004F5414"/>
    <w:rsid w:val="005133D2"/>
    <w:rsid w:val="00570420"/>
    <w:rsid w:val="005C29DD"/>
    <w:rsid w:val="005C7ED7"/>
    <w:rsid w:val="00606E34"/>
    <w:rsid w:val="00802A32"/>
    <w:rsid w:val="00A54820"/>
    <w:rsid w:val="00AE7982"/>
    <w:rsid w:val="00D66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64DE"/>
  <w15:docId w15:val="{D5001A07-4792-4B81-98EB-DAE0CDC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0" w:line="226"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628FB"/>
    <w:rPr>
      <w:sz w:val="16"/>
      <w:szCs w:val="16"/>
    </w:rPr>
  </w:style>
  <w:style w:type="paragraph" w:styleId="Kommentartext">
    <w:name w:val="annotation text"/>
    <w:basedOn w:val="Standard"/>
    <w:link w:val="KommentartextZchn"/>
    <w:uiPriority w:val="99"/>
    <w:semiHidden/>
    <w:unhideWhenUsed/>
    <w:rsid w:val="003628FB"/>
    <w:pPr>
      <w:spacing w:line="240" w:lineRule="auto"/>
    </w:pPr>
    <w:rPr>
      <w:szCs w:val="20"/>
    </w:rPr>
  </w:style>
  <w:style w:type="character" w:customStyle="1" w:styleId="KommentartextZchn">
    <w:name w:val="Kommentartext Zchn"/>
    <w:basedOn w:val="Absatz-Standardschriftart"/>
    <w:link w:val="Kommentartext"/>
    <w:uiPriority w:val="99"/>
    <w:semiHidden/>
    <w:rsid w:val="003628FB"/>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3628FB"/>
    <w:rPr>
      <w:b/>
      <w:bCs/>
    </w:rPr>
  </w:style>
  <w:style w:type="character" w:customStyle="1" w:styleId="KommentarthemaZchn">
    <w:name w:val="Kommentarthema Zchn"/>
    <w:basedOn w:val="KommentartextZchn"/>
    <w:link w:val="Kommentarthema"/>
    <w:uiPriority w:val="99"/>
    <w:semiHidden/>
    <w:rsid w:val="003628F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2EDF-74C6-4486-88D8-6C9C0A3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6</cp:revision>
  <dcterms:created xsi:type="dcterms:W3CDTF">2025-04-22T11:16:00Z</dcterms:created>
  <dcterms:modified xsi:type="dcterms:W3CDTF">2025-04-23T18:30:00Z</dcterms:modified>
</cp:coreProperties>
</file>